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99DA" w14:textId="57DF2F4E" w:rsidR="006302D6" w:rsidRDefault="006302D6" w:rsidP="007E4791"/>
    <w:p w14:paraId="6D7F6142" w14:textId="133A2600" w:rsidR="007E4791" w:rsidRDefault="007E4791" w:rsidP="007E4791">
      <w:r>
        <w:t>From the National Association of Home Builders on March 18, 2026</w:t>
      </w:r>
    </w:p>
    <w:p w14:paraId="242F5EBD" w14:textId="77777777" w:rsidR="007E4791" w:rsidRDefault="007E4791" w:rsidP="007E4791"/>
    <w:tbl>
      <w:tblPr>
        <w:tblW w:w="0" w:type="auto"/>
        <w:tblCellSpacing w:w="0" w:type="dxa"/>
        <w:tblCellMar>
          <w:left w:w="0" w:type="dxa"/>
          <w:right w:w="0" w:type="dxa"/>
        </w:tblCellMar>
        <w:tblLook w:val="04A0" w:firstRow="1" w:lastRow="0" w:firstColumn="1" w:lastColumn="0" w:noHBand="0" w:noVBand="1"/>
      </w:tblPr>
      <w:tblGrid>
        <w:gridCol w:w="8700"/>
      </w:tblGrid>
      <w:tr w:rsidR="007E4791" w14:paraId="31613BE8" w14:textId="77777777">
        <w:trPr>
          <w:tblCellSpacing w:w="0" w:type="dxa"/>
        </w:trPr>
        <w:tc>
          <w:tcPr>
            <w:tcW w:w="8700" w:type="dxa"/>
            <w:tcMar>
              <w:top w:w="150" w:type="dxa"/>
              <w:left w:w="150" w:type="dxa"/>
              <w:bottom w:w="150" w:type="dxa"/>
              <w:right w:w="150" w:type="dxa"/>
            </w:tcMar>
            <w:hideMark/>
          </w:tcPr>
          <w:p w14:paraId="5D877A07" w14:textId="77777777" w:rsidR="007E4791" w:rsidRDefault="007E4791">
            <w:pPr>
              <w:rPr>
                <w:rFonts w:ascii="Tahoma" w:eastAsia="Times New Roman" w:hAnsi="Tahoma" w:cs="Tahoma"/>
                <w:sz w:val="20"/>
                <w:szCs w:val="20"/>
              </w:rPr>
            </w:pPr>
            <w:r>
              <w:rPr>
                <w:rStyle w:val="Strong"/>
                <w:rFonts w:ascii="Tahoma" w:eastAsia="Times New Roman" w:hAnsi="Tahoma" w:cs="Tahoma"/>
                <w:sz w:val="27"/>
                <w:szCs w:val="27"/>
              </w:rPr>
              <w:t>How the Iran War Adds Uncertainty to the Housing Outlook</w:t>
            </w:r>
          </w:p>
        </w:tc>
      </w:tr>
      <w:tr w:rsidR="007E4791" w14:paraId="0CAF1F2E" w14:textId="77777777">
        <w:trPr>
          <w:tblCellSpacing w:w="0" w:type="dxa"/>
        </w:trPr>
        <w:tc>
          <w:tcPr>
            <w:tcW w:w="8700" w:type="dxa"/>
            <w:tcMar>
              <w:top w:w="150" w:type="dxa"/>
              <w:left w:w="150" w:type="dxa"/>
              <w:bottom w:w="150" w:type="dxa"/>
              <w:right w:w="150" w:type="dxa"/>
            </w:tcMar>
            <w:hideMark/>
          </w:tcPr>
          <w:p w14:paraId="7A43F331" w14:textId="77777777" w:rsidR="007E4791" w:rsidRDefault="007E4791">
            <w:pPr>
              <w:jc w:val="both"/>
              <w:rPr>
                <w:rFonts w:ascii="Tahoma" w:eastAsia="Times New Roman" w:hAnsi="Tahoma" w:cs="Tahoma"/>
                <w:sz w:val="20"/>
                <w:szCs w:val="20"/>
              </w:rPr>
            </w:pPr>
            <w:hyperlink r:id="rId4" w:tgtFrame="_blank" w:history="1">
              <w:r>
                <w:rPr>
                  <w:rStyle w:val="Hyperlink"/>
                  <w:rFonts w:ascii="Tahoma" w:eastAsia="Times New Roman" w:hAnsi="Tahoma" w:cs="Tahoma"/>
                  <w:color w:val="00A0DF"/>
                  <w:sz w:val="21"/>
                  <w:szCs w:val="21"/>
                </w:rPr>
                <w:t>Home builder sentiment improved in March</w:t>
              </w:r>
            </w:hyperlink>
            <w:r>
              <w:rPr>
                <w:rFonts w:ascii="Tahoma" w:eastAsia="Times New Roman" w:hAnsi="Tahoma" w:cs="Tahoma"/>
                <w:sz w:val="21"/>
                <w:szCs w:val="21"/>
              </w:rPr>
              <w:t xml:space="preserve">, thanks to lower mortgage interest rates. Builder confidence in the market for newly built single-family homes rose one point to 38 in March, according to the NAHB/Wells Fargo Housing Market Index (HMI). The portion of the </w:t>
            </w:r>
            <w:proofErr w:type="gramStart"/>
            <w:r>
              <w:rPr>
                <w:rFonts w:ascii="Tahoma" w:eastAsia="Times New Roman" w:hAnsi="Tahoma" w:cs="Tahoma"/>
                <w:sz w:val="21"/>
                <w:szCs w:val="21"/>
              </w:rPr>
              <w:t>HMI</w:t>
            </w:r>
            <w:proofErr w:type="gramEnd"/>
            <w:r>
              <w:rPr>
                <w:rFonts w:ascii="Tahoma" w:eastAsia="Times New Roman" w:hAnsi="Tahoma" w:cs="Tahoma"/>
                <w:sz w:val="21"/>
                <w:szCs w:val="21"/>
              </w:rPr>
              <w:t xml:space="preserve"> measuring builders’ future sales </w:t>
            </w:r>
            <w:proofErr w:type="gramStart"/>
            <w:r>
              <w:rPr>
                <w:rFonts w:ascii="Tahoma" w:eastAsia="Times New Roman" w:hAnsi="Tahoma" w:cs="Tahoma"/>
                <w:sz w:val="21"/>
                <w:szCs w:val="21"/>
              </w:rPr>
              <w:t>expectations</w:t>
            </w:r>
            <w:proofErr w:type="gramEnd"/>
            <w:r>
              <w:rPr>
                <w:rFonts w:ascii="Tahoma" w:eastAsia="Times New Roman" w:hAnsi="Tahoma" w:cs="Tahoma"/>
                <w:sz w:val="21"/>
                <w:szCs w:val="21"/>
              </w:rPr>
              <w:t xml:space="preserve"> also rose, gaining two points to a level of </w:t>
            </w:r>
            <w:proofErr w:type="gramStart"/>
            <w:r>
              <w:rPr>
                <w:rFonts w:ascii="Tahoma" w:eastAsia="Times New Roman" w:hAnsi="Tahoma" w:cs="Tahoma"/>
                <w:sz w:val="21"/>
                <w:szCs w:val="21"/>
              </w:rPr>
              <w:t>49</w:t>
            </w:r>
            <w:proofErr w:type="gramEnd"/>
            <w:r>
              <w:rPr>
                <w:rFonts w:ascii="Tahoma" w:eastAsia="Times New Roman" w:hAnsi="Tahoma" w:cs="Tahoma"/>
                <w:sz w:val="21"/>
                <w:szCs w:val="21"/>
              </w:rPr>
              <w:t xml:space="preserve"> </w:t>
            </w:r>
            <w:proofErr w:type="gramStart"/>
            <w:r>
              <w:rPr>
                <w:rFonts w:ascii="Tahoma" w:eastAsia="Times New Roman" w:hAnsi="Tahoma" w:cs="Tahoma"/>
                <w:sz w:val="21"/>
                <w:szCs w:val="21"/>
              </w:rPr>
              <w:t>— almost a neutral</w:t>
            </w:r>
            <w:proofErr w:type="gramEnd"/>
            <w:r>
              <w:rPr>
                <w:rFonts w:ascii="Tahoma" w:eastAsia="Times New Roman" w:hAnsi="Tahoma" w:cs="Tahoma"/>
                <w:sz w:val="21"/>
                <w:szCs w:val="21"/>
              </w:rPr>
              <w:t xml:space="preserve"> reading.</w:t>
            </w:r>
          </w:p>
          <w:p w14:paraId="1BD59CAF" w14:textId="77777777" w:rsidR="007E4791" w:rsidRDefault="007E4791">
            <w:pPr>
              <w:jc w:val="both"/>
              <w:rPr>
                <w:rFonts w:ascii="Tahoma" w:eastAsia="Times New Roman" w:hAnsi="Tahoma" w:cs="Tahoma"/>
                <w:sz w:val="20"/>
                <w:szCs w:val="20"/>
              </w:rPr>
            </w:pPr>
            <w:r>
              <w:rPr>
                <w:rFonts w:ascii="Tahoma" w:eastAsia="Times New Roman" w:hAnsi="Tahoma" w:cs="Tahoma"/>
                <w:sz w:val="20"/>
                <w:szCs w:val="20"/>
              </w:rPr>
              <w:t> </w:t>
            </w:r>
          </w:p>
          <w:p w14:paraId="6CE89F0B" w14:textId="77777777" w:rsidR="007E4791" w:rsidRDefault="007E4791">
            <w:pPr>
              <w:jc w:val="both"/>
              <w:rPr>
                <w:rFonts w:ascii="Tahoma" w:eastAsia="Times New Roman" w:hAnsi="Tahoma" w:cs="Tahoma"/>
                <w:sz w:val="20"/>
                <w:szCs w:val="20"/>
              </w:rPr>
            </w:pPr>
            <w:r>
              <w:rPr>
                <w:rFonts w:ascii="Tahoma" w:eastAsia="Times New Roman" w:hAnsi="Tahoma" w:cs="Tahoma"/>
                <w:sz w:val="21"/>
                <w:szCs w:val="21"/>
              </w:rPr>
              <w:t xml:space="preserve">However, long-term rates have moved higher because of concerns associated with the ongoing Iran war, including the possibility of sustained higher oil prices. The 10-year Treasury rate </w:t>
            </w:r>
            <w:proofErr w:type="gramStart"/>
            <w:r>
              <w:rPr>
                <w:rFonts w:ascii="Tahoma" w:eastAsia="Times New Roman" w:hAnsi="Tahoma" w:cs="Tahoma"/>
                <w:sz w:val="21"/>
                <w:szCs w:val="21"/>
              </w:rPr>
              <w:t>increased</w:t>
            </w:r>
            <w:proofErr w:type="gramEnd"/>
            <w:r>
              <w:rPr>
                <w:rFonts w:ascii="Tahoma" w:eastAsia="Times New Roman" w:hAnsi="Tahoma" w:cs="Tahoma"/>
                <w:sz w:val="21"/>
                <w:szCs w:val="21"/>
              </w:rPr>
              <w:t xml:space="preserve"> more than 20 basis points in early March to </w:t>
            </w:r>
            <w:proofErr w:type="gramStart"/>
            <w:r>
              <w:rPr>
                <w:rFonts w:ascii="Tahoma" w:eastAsia="Times New Roman" w:hAnsi="Tahoma" w:cs="Tahoma"/>
                <w:sz w:val="21"/>
                <w:szCs w:val="21"/>
              </w:rPr>
              <w:t>near</w:t>
            </w:r>
            <w:proofErr w:type="gramEnd"/>
            <w:r>
              <w:rPr>
                <w:rFonts w:ascii="Tahoma" w:eastAsia="Times New Roman" w:hAnsi="Tahoma" w:cs="Tahoma"/>
                <w:sz w:val="21"/>
                <w:szCs w:val="21"/>
              </w:rPr>
              <w:t xml:space="preserve"> 4.2%. And after </w:t>
            </w:r>
            <w:hyperlink r:id="rId5" w:tgtFrame="_blank" w:history="1">
              <w:r>
                <w:rPr>
                  <w:rStyle w:val="Hyperlink"/>
                  <w:rFonts w:ascii="Tahoma" w:eastAsia="Times New Roman" w:hAnsi="Tahoma" w:cs="Tahoma"/>
                  <w:color w:val="00A0DF"/>
                  <w:sz w:val="21"/>
                  <w:szCs w:val="21"/>
                </w:rPr>
                <w:t>dropping in February</w:t>
              </w:r>
            </w:hyperlink>
            <w:r>
              <w:rPr>
                <w:rFonts w:ascii="Tahoma" w:eastAsia="Times New Roman" w:hAnsi="Tahoma" w:cs="Tahoma"/>
                <w:sz w:val="21"/>
                <w:szCs w:val="21"/>
              </w:rPr>
              <w:t xml:space="preserve"> to its lowest level (6.05%) since August 2022, the Freddie Mac 30-year fixed-rate mortgage has since moved up to an average of 6.11%. </w:t>
            </w:r>
            <w:hyperlink r:id="rId6" w:tgtFrame="_blank" w:history="1">
              <w:r>
                <w:rPr>
                  <w:rStyle w:val="Hyperlink"/>
                  <w:rFonts w:ascii="Tahoma" w:eastAsia="Times New Roman" w:hAnsi="Tahoma" w:cs="Tahoma"/>
                  <w:color w:val="00A0DF"/>
                  <w:sz w:val="21"/>
                  <w:szCs w:val="21"/>
                </w:rPr>
                <w:t>Inflation data was steady in February</w:t>
              </w:r>
            </w:hyperlink>
            <w:r>
              <w:rPr>
                <w:rFonts w:ascii="Tahoma" w:eastAsia="Times New Roman" w:hAnsi="Tahoma" w:cs="Tahoma"/>
                <w:sz w:val="21"/>
                <w:szCs w:val="21"/>
              </w:rPr>
              <w:t xml:space="preserve">, with the overall CPI at a 2.4% growth rate, and shelter down to 3%. However, higher oil prices represent an upside risk in </w:t>
            </w:r>
            <w:proofErr w:type="gramStart"/>
            <w:r>
              <w:rPr>
                <w:rFonts w:ascii="Tahoma" w:eastAsia="Times New Roman" w:hAnsi="Tahoma" w:cs="Tahoma"/>
                <w:sz w:val="21"/>
                <w:szCs w:val="21"/>
              </w:rPr>
              <w:t>the future</w:t>
            </w:r>
            <w:proofErr w:type="gramEnd"/>
            <w:r>
              <w:rPr>
                <w:rFonts w:ascii="Tahoma" w:eastAsia="Times New Roman" w:hAnsi="Tahoma" w:cs="Tahoma"/>
                <w:sz w:val="21"/>
                <w:szCs w:val="21"/>
              </w:rPr>
              <w:t xml:space="preserve"> reports.</w:t>
            </w:r>
          </w:p>
          <w:p w14:paraId="332A4F0D" w14:textId="77777777" w:rsidR="007E4791" w:rsidRDefault="007E4791">
            <w:pPr>
              <w:jc w:val="both"/>
              <w:rPr>
                <w:rFonts w:ascii="Tahoma" w:eastAsia="Times New Roman" w:hAnsi="Tahoma" w:cs="Tahoma"/>
                <w:sz w:val="20"/>
                <w:szCs w:val="20"/>
              </w:rPr>
            </w:pPr>
            <w:r>
              <w:rPr>
                <w:rFonts w:ascii="Tahoma" w:eastAsia="Times New Roman" w:hAnsi="Tahoma" w:cs="Tahoma"/>
                <w:sz w:val="20"/>
                <w:szCs w:val="20"/>
              </w:rPr>
              <w:t> </w:t>
            </w:r>
          </w:p>
          <w:p w14:paraId="7927687B" w14:textId="77777777" w:rsidR="007E4791" w:rsidRDefault="007E4791">
            <w:pPr>
              <w:jc w:val="both"/>
              <w:rPr>
                <w:rFonts w:ascii="Tahoma" w:eastAsia="Times New Roman" w:hAnsi="Tahoma" w:cs="Tahoma"/>
                <w:sz w:val="20"/>
                <w:szCs w:val="20"/>
              </w:rPr>
            </w:pPr>
            <w:r>
              <w:rPr>
                <w:rFonts w:ascii="Tahoma" w:eastAsia="Times New Roman" w:hAnsi="Tahoma" w:cs="Tahoma"/>
                <w:sz w:val="21"/>
                <w:szCs w:val="21"/>
              </w:rPr>
              <w:t xml:space="preserve">These changes add concerns to an already underperforming labor market. In February, </w:t>
            </w:r>
            <w:hyperlink r:id="rId7" w:tgtFrame="_blank" w:history="1">
              <w:r>
                <w:rPr>
                  <w:rStyle w:val="Hyperlink"/>
                  <w:rFonts w:ascii="Tahoma" w:eastAsia="Times New Roman" w:hAnsi="Tahoma" w:cs="Tahoma"/>
                  <w:color w:val="00A0DF"/>
                  <w:sz w:val="21"/>
                  <w:szCs w:val="21"/>
                </w:rPr>
                <w:t>the economy lost 92,000 jobs</w:t>
              </w:r>
            </w:hyperlink>
            <w:r>
              <w:rPr>
                <w:rFonts w:ascii="Tahoma" w:eastAsia="Times New Roman" w:hAnsi="Tahoma" w:cs="Tahoma"/>
                <w:sz w:val="21"/>
                <w:szCs w:val="21"/>
              </w:rPr>
              <w:t xml:space="preserve"> and the unemployment rate increased to 4.4%. With revisions, the economy has lost jobs for three of the last five months. Since the start of 2025, tariffs and headline uncertainty have stalled the labor market, with only 150,000 total jobs created. Manufacturing has lost 120,000 jobs since the start of 2025, as input costs continue to rise. Construction lost 11,000 jobs in February, with home building and remodeling employment down 7,100 for the month. </w:t>
            </w:r>
            <w:hyperlink r:id="rId8" w:tgtFrame="_blank" w:history="1">
              <w:r>
                <w:rPr>
                  <w:rStyle w:val="Hyperlink"/>
                  <w:rFonts w:ascii="Tahoma" w:eastAsia="Times New Roman" w:hAnsi="Tahoma" w:cs="Tahoma"/>
                  <w:color w:val="00A0DF"/>
                  <w:sz w:val="21"/>
                  <w:szCs w:val="21"/>
                </w:rPr>
                <w:t>Residential construction has lost 46,000 jobs over the last year.</w:t>
              </w:r>
            </w:hyperlink>
          </w:p>
          <w:p w14:paraId="77E030D0" w14:textId="77777777" w:rsidR="007E4791" w:rsidRDefault="007E4791">
            <w:pPr>
              <w:jc w:val="both"/>
              <w:rPr>
                <w:rFonts w:ascii="Tahoma" w:eastAsia="Times New Roman" w:hAnsi="Tahoma" w:cs="Tahoma"/>
                <w:sz w:val="20"/>
                <w:szCs w:val="20"/>
              </w:rPr>
            </w:pPr>
            <w:r>
              <w:rPr>
                <w:rFonts w:ascii="Tahoma" w:eastAsia="Times New Roman" w:hAnsi="Tahoma" w:cs="Tahoma"/>
                <w:sz w:val="20"/>
                <w:szCs w:val="20"/>
              </w:rPr>
              <w:t> </w:t>
            </w:r>
          </w:p>
          <w:p w14:paraId="6EBD9EC2" w14:textId="77777777" w:rsidR="007E4791" w:rsidRDefault="007E4791">
            <w:pPr>
              <w:jc w:val="both"/>
              <w:rPr>
                <w:rFonts w:ascii="Tahoma" w:eastAsia="Times New Roman" w:hAnsi="Tahoma" w:cs="Tahoma"/>
                <w:sz w:val="20"/>
                <w:szCs w:val="20"/>
              </w:rPr>
            </w:pPr>
            <w:r>
              <w:rPr>
                <w:rFonts w:ascii="Tahoma" w:eastAsia="Times New Roman" w:hAnsi="Tahoma" w:cs="Tahoma"/>
                <w:sz w:val="21"/>
                <w:szCs w:val="21"/>
              </w:rPr>
              <w:t>The bright spot was wage growth, which posted a 3.8% annualized growth rate. Wages have been rising faster than inflation for two years, helping consumers. It is also a sign of productivity growth. Layoffs also remain relatively tame, reflecting the “low hire, low fire” labor market.</w:t>
            </w:r>
          </w:p>
          <w:p w14:paraId="7B807AC6" w14:textId="77777777" w:rsidR="007E4791" w:rsidRDefault="007E4791">
            <w:pPr>
              <w:jc w:val="both"/>
              <w:rPr>
                <w:rFonts w:ascii="Tahoma" w:eastAsia="Times New Roman" w:hAnsi="Tahoma" w:cs="Tahoma"/>
                <w:sz w:val="20"/>
                <w:szCs w:val="20"/>
              </w:rPr>
            </w:pPr>
            <w:r>
              <w:rPr>
                <w:rFonts w:ascii="Tahoma" w:eastAsia="Times New Roman" w:hAnsi="Tahoma" w:cs="Tahoma"/>
                <w:sz w:val="20"/>
                <w:szCs w:val="20"/>
              </w:rPr>
              <w:t> </w:t>
            </w:r>
          </w:p>
          <w:p w14:paraId="0AF2F957" w14:textId="77777777" w:rsidR="007E4791" w:rsidRDefault="007E4791">
            <w:pPr>
              <w:jc w:val="both"/>
              <w:rPr>
                <w:rFonts w:ascii="Tahoma" w:eastAsia="Times New Roman" w:hAnsi="Tahoma" w:cs="Tahoma"/>
                <w:sz w:val="20"/>
                <w:szCs w:val="20"/>
              </w:rPr>
            </w:pPr>
            <w:r>
              <w:rPr>
                <w:rFonts w:ascii="Tahoma" w:eastAsia="Times New Roman" w:hAnsi="Tahoma" w:cs="Tahoma"/>
                <w:sz w:val="21"/>
                <w:szCs w:val="21"/>
              </w:rPr>
              <w:t xml:space="preserve">Home building started the year with some weakness. </w:t>
            </w:r>
            <w:hyperlink r:id="rId9" w:tgtFrame="_blank" w:history="1">
              <w:r>
                <w:rPr>
                  <w:rStyle w:val="Hyperlink"/>
                  <w:rFonts w:ascii="Tahoma" w:eastAsia="Times New Roman" w:hAnsi="Tahoma" w:cs="Tahoma"/>
                  <w:color w:val="00A0DF"/>
                  <w:sz w:val="21"/>
                  <w:szCs w:val="21"/>
                </w:rPr>
                <w:t>Single-family starts decreased 2.8%</w:t>
              </w:r>
            </w:hyperlink>
            <w:r>
              <w:rPr>
                <w:rFonts w:ascii="Tahoma" w:eastAsia="Times New Roman" w:hAnsi="Tahoma" w:cs="Tahoma"/>
                <w:sz w:val="21"/>
                <w:szCs w:val="21"/>
              </w:rPr>
              <w:t xml:space="preserve"> to a 935,000 seasonally adjusted annual rate. </w:t>
            </w:r>
            <w:hyperlink r:id="rId10" w:tgtFrame="_blank" w:history="1">
              <w:r>
                <w:rPr>
                  <w:rStyle w:val="Hyperlink"/>
                  <w:rFonts w:ascii="Tahoma" w:eastAsia="Times New Roman" w:hAnsi="Tahoma" w:cs="Tahoma"/>
                  <w:color w:val="00A0DF"/>
                  <w:sz w:val="21"/>
                  <w:szCs w:val="21"/>
                </w:rPr>
                <w:t>Single-family permits decreased 0.9%</w:t>
              </w:r>
            </w:hyperlink>
            <w:r>
              <w:rPr>
                <w:rFonts w:ascii="Tahoma" w:eastAsia="Times New Roman" w:hAnsi="Tahoma" w:cs="Tahoma"/>
                <w:sz w:val="21"/>
                <w:szCs w:val="21"/>
              </w:rPr>
              <w:t xml:space="preserve"> to an 873,000-unit rate, which is the weakest reading since August of last year. Despite recent weakness for home building, there are some subsectors running off trend. In 2025, </w:t>
            </w:r>
            <w:hyperlink r:id="rId11" w:tgtFrame="_blank" w:history="1">
              <w:r>
                <w:rPr>
                  <w:rStyle w:val="Hyperlink"/>
                  <w:rFonts w:ascii="Tahoma" w:eastAsia="Times New Roman" w:hAnsi="Tahoma" w:cs="Tahoma"/>
                  <w:color w:val="00A0DF"/>
                  <w:sz w:val="21"/>
                  <w:szCs w:val="21"/>
                </w:rPr>
                <w:t>townhouse construction starts totaled 173,000</w:t>
              </w:r>
            </w:hyperlink>
            <w:r>
              <w:rPr>
                <w:rFonts w:ascii="Tahoma" w:eastAsia="Times New Roman" w:hAnsi="Tahoma" w:cs="Tahoma"/>
                <w:sz w:val="21"/>
                <w:szCs w:val="21"/>
              </w:rPr>
              <w:t xml:space="preserve"> homes, effectively flat compared to 2024 (174,000). Meanwhile, custom single-family housing starts totaled 186,000 homes, a 3% increase from the year prior (181,000). In contrast, over the course of 2025, </w:t>
            </w:r>
            <w:hyperlink r:id="rId12" w:tgtFrame="_blank" w:history="1">
              <w:r>
                <w:rPr>
                  <w:rStyle w:val="Hyperlink"/>
                  <w:rFonts w:ascii="Tahoma" w:eastAsia="Times New Roman" w:hAnsi="Tahoma" w:cs="Tahoma"/>
                  <w:color w:val="00A0DF"/>
                  <w:sz w:val="21"/>
                  <w:szCs w:val="21"/>
                </w:rPr>
                <w:t>68,000 single-family built-for-rent homes began construction</w:t>
              </w:r>
            </w:hyperlink>
            <w:r>
              <w:rPr>
                <w:rFonts w:ascii="Tahoma" w:eastAsia="Times New Roman" w:hAnsi="Tahoma" w:cs="Tahoma"/>
                <w:sz w:val="21"/>
                <w:szCs w:val="21"/>
              </w:rPr>
              <w:t>, which is a 19% decrease from the 2024 total (84,000). </w:t>
            </w:r>
          </w:p>
          <w:p w14:paraId="26543861" w14:textId="77777777" w:rsidR="007E4791" w:rsidRDefault="007E4791">
            <w:pPr>
              <w:jc w:val="both"/>
              <w:rPr>
                <w:rFonts w:ascii="Tahoma" w:eastAsia="Times New Roman" w:hAnsi="Tahoma" w:cs="Tahoma"/>
                <w:sz w:val="20"/>
                <w:szCs w:val="20"/>
              </w:rPr>
            </w:pPr>
            <w:r>
              <w:rPr>
                <w:rFonts w:ascii="Tahoma" w:eastAsia="Times New Roman" w:hAnsi="Tahoma" w:cs="Tahoma"/>
                <w:sz w:val="20"/>
                <w:szCs w:val="20"/>
              </w:rPr>
              <w:t> </w:t>
            </w:r>
          </w:p>
          <w:p w14:paraId="08039671" w14:textId="77777777" w:rsidR="007E4791" w:rsidRDefault="007E4791">
            <w:pPr>
              <w:jc w:val="both"/>
              <w:rPr>
                <w:rFonts w:ascii="Tahoma" w:eastAsia="Times New Roman" w:hAnsi="Tahoma" w:cs="Tahoma"/>
                <w:sz w:val="20"/>
                <w:szCs w:val="20"/>
              </w:rPr>
            </w:pPr>
            <w:r>
              <w:rPr>
                <w:rFonts w:ascii="Tahoma" w:eastAsia="Times New Roman" w:hAnsi="Tahoma" w:cs="Tahoma"/>
                <w:sz w:val="21"/>
                <w:szCs w:val="21"/>
              </w:rPr>
              <w:t xml:space="preserve">Policy is a wildcard for the housing outlook. The </w:t>
            </w:r>
            <w:hyperlink r:id="rId13" w:tgtFrame="_blank" w:history="1">
              <w:r>
                <w:rPr>
                  <w:rStyle w:val="Hyperlink"/>
                  <w:rFonts w:ascii="Tahoma" w:eastAsia="Times New Roman" w:hAnsi="Tahoma" w:cs="Tahoma"/>
                  <w:color w:val="00A0DF"/>
                  <w:sz w:val="21"/>
                  <w:szCs w:val="21"/>
                </w:rPr>
                <w:t>21st Century ROAD to Housing Act</w:t>
              </w:r>
            </w:hyperlink>
            <w:r>
              <w:rPr>
                <w:rFonts w:ascii="Tahoma" w:eastAsia="Times New Roman" w:hAnsi="Tahoma" w:cs="Tahoma"/>
                <w:sz w:val="21"/>
                <w:szCs w:val="21"/>
              </w:rPr>
              <w:t xml:space="preserve">, approaching the last lap of its legislative journey, offers a whole set of supply-side improvements. However, the pending bill includes a seven-year disposition rule for new rental construction, which could further reduce single-family built-for-rent housing by an estimated 40,000 homes each year. Additionally, the </w:t>
            </w:r>
            <w:hyperlink r:id="rId14" w:tgtFrame="_blank" w:history="1">
              <w:r>
                <w:rPr>
                  <w:rStyle w:val="Hyperlink"/>
                  <w:rFonts w:ascii="Tahoma" w:eastAsia="Times New Roman" w:hAnsi="Tahoma" w:cs="Tahoma"/>
                  <w:color w:val="00A0DF"/>
                  <w:sz w:val="21"/>
                  <w:szCs w:val="21"/>
                </w:rPr>
                <w:t>Trump administration last week published an executive order</w:t>
              </w:r>
            </w:hyperlink>
            <w:r>
              <w:rPr>
                <w:rFonts w:ascii="Tahoma" w:eastAsia="Times New Roman" w:hAnsi="Tahoma" w:cs="Tahoma"/>
                <w:sz w:val="21"/>
                <w:szCs w:val="21"/>
              </w:rPr>
              <w:t xml:space="preserve"> that instructs the executive branch agencies to implement policies that would help reduce the regulatory burden and increase mortgage credit. </w:t>
            </w:r>
          </w:p>
        </w:tc>
      </w:tr>
    </w:tbl>
    <w:p w14:paraId="1570D580" w14:textId="77777777" w:rsidR="007E4791" w:rsidRPr="007E4791" w:rsidRDefault="007E4791" w:rsidP="007E4791"/>
    <w:sectPr w:rsidR="007E4791" w:rsidRPr="007E4791"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91"/>
    <w:rsid w:val="00455CAC"/>
    <w:rsid w:val="0057183C"/>
    <w:rsid w:val="006302D6"/>
    <w:rsid w:val="007E4791"/>
    <w:rsid w:val="0082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C86F"/>
  <w15:chartTrackingRefBased/>
  <w15:docId w15:val="{198621B5-38FA-4A1B-A3BD-CDE35A77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79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7E47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47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479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479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479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479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479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479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479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791"/>
    <w:rPr>
      <w:rFonts w:eastAsiaTheme="majorEastAsia" w:cstheme="majorBidi"/>
      <w:color w:val="272727" w:themeColor="text1" w:themeTint="D8"/>
    </w:rPr>
  </w:style>
  <w:style w:type="paragraph" w:styleId="Title">
    <w:name w:val="Title"/>
    <w:basedOn w:val="Normal"/>
    <w:next w:val="Normal"/>
    <w:link w:val="TitleChar"/>
    <w:uiPriority w:val="10"/>
    <w:qFormat/>
    <w:rsid w:val="007E47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4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7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4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79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E4791"/>
    <w:rPr>
      <w:i/>
      <w:iCs/>
      <w:color w:val="404040" w:themeColor="text1" w:themeTint="BF"/>
    </w:rPr>
  </w:style>
  <w:style w:type="paragraph" w:styleId="ListParagraph">
    <w:name w:val="List Paragraph"/>
    <w:basedOn w:val="Normal"/>
    <w:uiPriority w:val="34"/>
    <w:qFormat/>
    <w:rsid w:val="007E479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7E4791"/>
    <w:rPr>
      <w:i/>
      <w:iCs/>
      <w:color w:val="0F4761" w:themeColor="accent1" w:themeShade="BF"/>
    </w:rPr>
  </w:style>
  <w:style w:type="paragraph" w:styleId="IntenseQuote">
    <w:name w:val="Intense Quote"/>
    <w:basedOn w:val="Normal"/>
    <w:next w:val="Normal"/>
    <w:link w:val="IntenseQuoteChar"/>
    <w:uiPriority w:val="30"/>
    <w:qFormat/>
    <w:rsid w:val="007E47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E4791"/>
    <w:rPr>
      <w:i/>
      <w:iCs/>
      <w:color w:val="0F4761" w:themeColor="accent1" w:themeShade="BF"/>
    </w:rPr>
  </w:style>
  <w:style w:type="character" w:styleId="IntenseReference">
    <w:name w:val="Intense Reference"/>
    <w:basedOn w:val="DefaultParagraphFont"/>
    <w:uiPriority w:val="32"/>
    <w:qFormat/>
    <w:rsid w:val="007E4791"/>
    <w:rPr>
      <w:b/>
      <w:bCs/>
      <w:smallCaps/>
      <w:color w:val="0F4761" w:themeColor="accent1" w:themeShade="BF"/>
      <w:spacing w:val="5"/>
    </w:rPr>
  </w:style>
  <w:style w:type="character" w:styleId="Hyperlink">
    <w:name w:val="Hyperlink"/>
    <w:basedOn w:val="DefaultParagraphFont"/>
    <w:uiPriority w:val="99"/>
    <w:semiHidden/>
    <w:unhideWhenUsed/>
    <w:rsid w:val="007E4791"/>
    <w:rPr>
      <w:color w:val="0000FF"/>
      <w:u w:val="single"/>
    </w:rPr>
  </w:style>
  <w:style w:type="character" w:styleId="Strong">
    <w:name w:val="Strong"/>
    <w:basedOn w:val="DefaultParagraphFont"/>
    <w:uiPriority w:val="22"/>
    <w:qFormat/>
    <w:rsid w:val="007E4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nahb.org/link.cfm?r=KVF7b7bkmATXIXuI5UfO6A~~&amp;pe=ynASQm0s4bHavuJ4hBexxqmrIEjKCPBljdUcATpReoofoWmMJrh6tG8_gT3C5YqaroSQyxWrPic5MFZ0fw5uIQ~~&amp;t=w1ztWLbOnYRdCTQneIMYCA~~" TargetMode="External"/><Relationship Id="rId13" Type="http://schemas.openxmlformats.org/officeDocument/2006/relationships/hyperlink" Target="http://send.nahb.org/link.cfm?r=KVF7b7bkmATXIXuI5UfO6A~~&amp;pe=o1Oz-MjzzZmOuk-UYUjFBMa3HkpkEA2ernftn5p6_9Ge-3GJ4tPPDpJNml7VkyxPEiLqfYPQ4mFTsv1q9bQlxA~~&amp;t=w1ztWLbOnYRdCTQneIMYCA~~" TargetMode="External"/><Relationship Id="rId3" Type="http://schemas.openxmlformats.org/officeDocument/2006/relationships/webSettings" Target="webSettings.xml"/><Relationship Id="rId7" Type="http://schemas.openxmlformats.org/officeDocument/2006/relationships/hyperlink" Target="http://send.nahb.org/link.cfm?r=KVF7b7bkmATXIXuI5UfO6A~~&amp;pe=TYWqc1GpDJlMQlAneTHfF260phr6lBhjqk0xkJP9RDq5zWT7KgNv7ntxcgUjSVCATpItfKXZFeU0yn-XHdWjCg~~&amp;t=w1ztWLbOnYRdCTQneIMYCA~~" TargetMode="External"/><Relationship Id="rId12" Type="http://schemas.openxmlformats.org/officeDocument/2006/relationships/hyperlink" Target="http://send.nahb.org/link.cfm?r=KVF7b7bkmATXIXuI5UfO6A~~&amp;pe=nzdUah8UlSNs1G7dyRVjUvC21oaBsmf4DbPeFiWZlNedYYRk4wAyBAny8EVGMsQcx2bQTKvAVUZ1HLcmo36XrQ~~&amp;t=w1ztWLbOnYRdCTQneIMYC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d.nahb.org/link.cfm?r=KVF7b7bkmATXIXuI5UfO6A~~&amp;pe=9E4gAV3f0XFiw7Yt8hlzEHKcX4WsUTL7MGGlcajL5QewFtlMESpEbOIfp4eujVrDNQmtDdOSjwCZhgEYOUsZpw~~&amp;t=w1ztWLbOnYRdCTQneIMYCA~~" TargetMode="External"/><Relationship Id="rId11" Type="http://schemas.openxmlformats.org/officeDocument/2006/relationships/hyperlink" Target="http://send.nahb.org/link.cfm?r=KVF7b7bkmATXIXuI5UfO6A~~&amp;pe=NVVyWUVX5bhDR1c8H8_zi2yBZ9DF5Kevnh7MA54gs2kyUK5oWwqctMhpCf5rpqrnm4wUMuV2FBVineVbGAcBmA~~&amp;t=w1ztWLbOnYRdCTQneIMYCA~~" TargetMode="External"/><Relationship Id="rId5" Type="http://schemas.openxmlformats.org/officeDocument/2006/relationships/hyperlink" Target="http://send.nahb.org/link.cfm?r=KVF7b7bkmATXIXuI5UfO6A~~&amp;pe=hH3E79V44kwy_ThbvM1dgPWljrAiiEwiy9SUBKup0YSCskjyJGETmUvimVm1q2H5O8MqOoed7JtvuaqkdNqgJQ~~&amp;t=w1ztWLbOnYRdCTQneIMYCA~~" TargetMode="External"/><Relationship Id="rId15" Type="http://schemas.openxmlformats.org/officeDocument/2006/relationships/fontTable" Target="fontTable.xml"/><Relationship Id="rId10" Type="http://schemas.openxmlformats.org/officeDocument/2006/relationships/hyperlink" Target="http://send.nahb.org/link.cfm?r=KVF7b7bkmATXIXuI5UfO6A~~&amp;pe=gITOfzfYr1bhpv0WuyFD31EILJgPj1O_wNJFFkHXxx5WzY38QAcV7MFVqhzb9IdSYPFMfy7weP32yC-rW8UyFA~~&amp;t=w1ztWLbOnYRdCTQneIMYCA~~" TargetMode="External"/><Relationship Id="rId4" Type="http://schemas.openxmlformats.org/officeDocument/2006/relationships/hyperlink" Target="http://send.nahb.org/link.cfm?r=KVF7b7bkmATXIXuI5UfO6A~~&amp;pe=ItcAowcRa6y6Wt4MR4z0c2P0mEuOd6d4mo9G6UEe39d9fRVUHrCzMp-ca2yrtKrKRCJ_ZTpCvq31xDQoNBdoQg~~&amp;t=w1ztWLbOnYRdCTQneIMYCA~~" TargetMode="External"/><Relationship Id="rId9" Type="http://schemas.openxmlformats.org/officeDocument/2006/relationships/hyperlink" Target="http://send.nahb.org/link.cfm?r=KVF7b7bkmATXIXuI5UfO6A~~&amp;pe=AuAHJlGXXy-MBWL8uZWkhZSamSBvNWQM-XAwUd6G0o6fSBaFgva6MK9j4MDwDaqyItOVYYML75bp6Phqj1nX8g~~&amp;t=w1ztWLbOnYRdCTQneIMYCA~~" TargetMode="External"/><Relationship Id="rId14" Type="http://schemas.openxmlformats.org/officeDocument/2006/relationships/hyperlink" Target="http://send.nahb.org/link.cfm?r=KVF7b7bkmATXIXuI5UfO6A~~&amp;pe=J6pCaETuwbD1JEq953MMHoriiKs_sLT51LXNnNvKqALbUUxRjMN6YJ4vbfqt567Q-FboOI15m2DEQNs93KF8EA~~&amp;t=w1ztWLbOnYRdCTQneIM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869</Words>
  <Characters>4728</Characters>
  <Application>Microsoft Office Word</Application>
  <DocSecurity>0</DocSecurity>
  <Lines>76</Lines>
  <Paragraphs>27</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2026-03-18T14:50:00Z</dcterms:created>
  <dcterms:modified xsi:type="dcterms:W3CDTF">2026-03-18T14:52:00Z</dcterms:modified>
</cp:coreProperties>
</file>