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F781" w14:textId="4B4C32C7" w:rsidR="00C37999" w:rsidRPr="00C37999" w:rsidRDefault="00C37999" w:rsidP="00C37999">
      <w:pPr>
        <w:rPr>
          <w:b/>
          <w:bCs/>
        </w:rPr>
      </w:pPr>
      <w:r w:rsidRPr="00C37999">
        <w:rPr>
          <w:b/>
          <w:bCs/>
        </w:rPr>
        <w:t>Petrochemical executives plan for uncertainty</w:t>
      </w:r>
      <w:r w:rsidRPr="00C37999">
        <w:rPr>
          <w:rFonts w:ascii="Libre Franklin" w:eastAsia="Times New Roman" w:hAnsi="Libre Franklin" w:cs="Times New Roman"/>
          <w:color w:val="000000"/>
          <w:kern w:val="0"/>
          <w14:ligatures w14:val="none"/>
        </w:rPr>
        <w:fldChar w:fldCharType="begin"/>
      </w:r>
      <w:r w:rsidRPr="00C37999">
        <w:rPr>
          <w:rFonts w:ascii="Libre Franklin" w:eastAsia="Times New Roman" w:hAnsi="Libre Franklin" w:cs="Times New Roman"/>
          <w:color w:val="000000"/>
          <w:kern w:val="0"/>
          <w14:ligatures w14:val="none"/>
        </w:rPr>
        <w:instrText>HYPERLINK "https://www.plasticsnews.com/author/frank-esposito"</w:instrText>
      </w:r>
      <w:r w:rsidRPr="00C37999">
        <w:rPr>
          <w:rFonts w:ascii="Libre Franklin" w:eastAsia="Times New Roman" w:hAnsi="Libre Franklin" w:cs="Times New Roman"/>
          <w:color w:val="000000"/>
          <w:kern w:val="0"/>
          <w14:ligatures w14:val="none"/>
        </w:rPr>
      </w:r>
      <w:r w:rsidRPr="00C37999">
        <w:rPr>
          <w:rFonts w:ascii="Libre Franklin" w:eastAsia="Times New Roman" w:hAnsi="Libre Franklin" w:cs="Times New Roman"/>
          <w:color w:val="000000"/>
          <w:kern w:val="0"/>
          <w14:ligatures w14:val="none"/>
        </w:rPr>
        <w:fldChar w:fldCharType="separate"/>
      </w:r>
    </w:p>
    <w:p w14:paraId="7E05154F" w14:textId="2D204D8F" w:rsidR="00C37999" w:rsidRPr="00C37999" w:rsidRDefault="00C37999" w:rsidP="00C37999">
      <w:pPr>
        <w:spacing w:after="0" w:line="240" w:lineRule="auto"/>
        <w:textAlignment w:val="baseline"/>
        <w:rPr>
          <w:rFonts w:ascii="Times New Roman" w:eastAsia="Times New Roman" w:hAnsi="Times New Roman" w:cs="Times New Roman"/>
          <w:kern w:val="0"/>
          <w14:ligatures w14:val="none"/>
        </w:rPr>
      </w:pPr>
    </w:p>
    <w:p w14:paraId="240F64DF" w14:textId="77777777" w:rsidR="00C37999" w:rsidRPr="00C37999" w:rsidRDefault="00C37999" w:rsidP="00C37999">
      <w:pPr>
        <w:spacing w:after="0" w:line="240" w:lineRule="auto"/>
        <w:jc w:val="center"/>
        <w:textAlignment w:val="baseline"/>
        <w:rPr>
          <w:rFonts w:ascii="Libre Franklin" w:eastAsia="Times New Roman" w:hAnsi="Libre Franklin" w:cs="Times New Roman"/>
          <w:color w:val="0000FF"/>
          <w:kern w:val="0"/>
          <w:sz w:val="18"/>
          <w:szCs w:val="18"/>
          <w:u w:val="single"/>
          <w:bdr w:val="single" w:sz="2" w:space="0" w:color="E5E7EB" w:frame="1"/>
          <w14:ligatures w14:val="none"/>
        </w:rPr>
      </w:pPr>
      <w:proofErr w:type="gramStart"/>
      <w:r w:rsidRPr="00C37999">
        <w:rPr>
          <w:rFonts w:ascii="Libre Franklin" w:eastAsia="Times New Roman" w:hAnsi="Libre Franklin" w:cs="Times New Roman"/>
          <w:color w:val="0000FF"/>
          <w:kern w:val="0"/>
          <w:sz w:val="18"/>
          <w:szCs w:val="18"/>
          <w:u w:val="single"/>
          <w:bdr w:val="single" w:sz="2" w:space="0" w:color="E5E7EB" w:frame="1"/>
          <w14:ligatures w14:val="none"/>
        </w:rPr>
        <w:t>By</w:t>
      </w:r>
      <w:proofErr w:type="gramEnd"/>
    </w:p>
    <w:p w14:paraId="7D9D8B83" w14:textId="77777777" w:rsidR="00C37999" w:rsidRPr="00C37999" w:rsidRDefault="00C37999" w:rsidP="00C37999">
      <w:pPr>
        <w:spacing w:after="0" w:line="240" w:lineRule="auto"/>
        <w:jc w:val="center"/>
        <w:textAlignment w:val="baseline"/>
        <w:rPr>
          <w:rFonts w:ascii="Libre Franklin" w:eastAsia="Times New Roman" w:hAnsi="Libre Franklin" w:cs="Times New Roman"/>
          <w:b/>
          <w:bCs/>
          <w:color w:val="0000FF"/>
          <w:kern w:val="0"/>
          <w:sz w:val="18"/>
          <w:szCs w:val="18"/>
          <w:u w:val="single"/>
          <w:bdr w:val="single" w:sz="2" w:space="0" w:color="E5E7EB" w:frame="1"/>
          <w14:ligatures w14:val="none"/>
        </w:rPr>
      </w:pPr>
      <w:r w:rsidRPr="00C37999">
        <w:rPr>
          <w:rFonts w:ascii="Libre Franklin" w:eastAsia="Times New Roman" w:hAnsi="Libre Franklin" w:cs="Times New Roman"/>
          <w:b/>
          <w:bCs/>
          <w:color w:val="0000FF"/>
          <w:kern w:val="0"/>
          <w:sz w:val="18"/>
          <w:szCs w:val="18"/>
          <w:u w:val="single"/>
          <w:bdr w:val="single" w:sz="2" w:space="0" w:color="E5E7EB" w:frame="1"/>
          <w14:ligatures w14:val="none"/>
        </w:rPr>
        <w:t>Frank Esposito</w:t>
      </w:r>
    </w:p>
    <w:p w14:paraId="1FFE0BE4" w14:textId="77777777" w:rsidR="00C37999" w:rsidRPr="00C37999" w:rsidRDefault="00C37999" w:rsidP="00C37999">
      <w:pPr>
        <w:spacing w:after="0" w:line="240" w:lineRule="auto"/>
        <w:jc w:val="center"/>
        <w:textAlignment w:val="baseline"/>
        <w:rPr>
          <w:rFonts w:ascii="Libre Franklin" w:eastAsia="Times New Roman" w:hAnsi="Libre Franklin" w:cs="Times New Roman"/>
          <w:color w:val="000000"/>
          <w:kern w:val="0"/>
          <w14:ligatures w14:val="none"/>
        </w:rPr>
      </w:pPr>
      <w:r w:rsidRPr="00C37999">
        <w:rPr>
          <w:rFonts w:ascii="Libre Franklin" w:eastAsia="Times New Roman" w:hAnsi="Libre Franklin" w:cs="Times New Roman"/>
          <w:color w:val="000000"/>
          <w:kern w:val="0"/>
          <w14:ligatures w14:val="none"/>
        </w:rPr>
        <w:fldChar w:fldCharType="end"/>
      </w:r>
    </w:p>
    <w:p w14:paraId="701AE17F" w14:textId="77777777" w:rsidR="00C37999" w:rsidRPr="00C37999" w:rsidRDefault="00C37999" w:rsidP="00C37999">
      <w:pPr>
        <w:spacing w:after="0" w:line="240" w:lineRule="auto"/>
        <w:jc w:val="center"/>
        <w:textAlignment w:val="baseline"/>
        <w:rPr>
          <w:rFonts w:ascii="Libre Franklin" w:eastAsia="Times New Roman" w:hAnsi="Libre Franklin" w:cs="Times New Roman"/>
          <w:color w:val="757171"/>
          <w:kern w:val="0"/>
          <w:sz w:val="18"/>
          <w:szCs w:val="18"/>
          <w14:ligatures w14:val="none"/>
        </w:rPr>
      </w:pPr>
      <w:r w:rsidRPr="00C37999">
        <w:rPr>
          <w:rFonts w:ascii="Libre Franklin" w:eastAsia="Times New Roman" w:hAnsi="Libre Franklin" w:cs="Times New Roman"/>
          <w:color w:val="757171"/>
          <w:kern w:val="0"/>
          <w:sz w:val="18"/>
          <w:szCs w:val="18"/>
          <w14:ligatures w14:val="none"/>
        </w:rPr>
        <w:t xml:space="preserve">March 19, </w:t>
      </w:r>
      <w:proofErr w:type="gramStart"/>
      <w:r w:rsidRPr="00C37999">
        <w:rPr>
          <w:rFonts w:ascii="Libre Franklin" w:eastAsia="Times New Roman" w:hAnsi="Libre Franklin" w:cs="Times New Roman"/>
          <w:color w:val="757171"/>
          <w:kern w:val="0"/>
          <w:sz w:val="18"/>
          <w:szCs w:val="18"/>
          <w14:ligatures w14:val="none"/>
        </w:rPr>
        <w:t>2026</w:t>
      </w:r>
      <w:proofErr w:type="gramEnd"/>
      <w:r w:rsidRPr="00C37999">
        <w:rPr>
          <w:rFonts w:ascii="Libre Franklin" w:eastAsia="Times New Roman" w:hAnsi="Libre Franklin" w:cs="Times New Roman"/>
          <w:color w:val="757171"/>
          <w:kern w:val="0"/>
          <w:sz w:val="18"/>
          <w:szCs w:val="18"/>
          <w14:ligatures w14:val="none"/>
        </w:rPr>
        <w:t xml:space="preserve"> 12:20 PM EDT</w:t>
      </w:r>
    </w:p>
    <w:p w14:paraId="18A9D46C" w14:textId="77777777" w:rsidR="00C37999" w:rsidRDefault="00C37999" w:rsidP="00C37999">
      <w:pPr>
        <w:pStyle w:val="NormalWeb"/>
      </w:pPr>
      <w:r>
        <w:t>Big picture: the major petrochemical companies are saying the Middle East conflict is making an already tight market even tighter. Dow, LyondellBasell, and Eastman all pointed to supply uncertainty, rising feedstock and oil-related costs, and a stronger case for price increases across polyethylene, polypropylene, and related materials.</w:t>
      </w:r>
    </w:p>
    <w:p w14:paraId="4646E7E9" w14:textId="77777777" w:rsidR="00C37999" w:rsidRDefault="00C37999" w:rsidP="00C37999">
      <w:pPr>
        <w:pStyle w:val="NormalWeb"/>
      </w:pPr>
      <w:r>
        <w:t xml:space="preserve">Dow’s message was basically: supply is shaky, inventories are low, and they’re pushing through price hikes fast. Jim Fitterling said a huge share of polyethylene supply is either offline, constrained, or affected by the conflict. He also noted that inventories are historically low, demand could improve after Lunar New Year, and higher oil prices may </w:t>
      </w:r>
      <w:proofErr w:type="gramStart"/>
      <w:r>
        <w:t>actually help</w:t>
      </w:r>
      <w:proofErr w:type="gramEnd"/>
      <w:r>
        <w:t xml:space="preserve"> Dow because of its feedstock position. Dow is running assets hard and leaning on its geographic spread and feedstock flexibility.</w:t>
      </w:r>
    </w:p>
    <w:p w14:paraId="293BA3B9" w14:textId="77777777" w:rsidR="00C37999" w:rsidRDefault="00C37999" w:rsidP="00C37999">
      <w:pPr>
        <w:pStyle w:val="NormalWeb"/>
      </w:pPr>
      <w:r>
        <w:t>LyondellBasell said the same pressure is showing up in pricing. PE and PP prices are up, oxyfuels are benefiting from crude-linked pricing, and North America looks especially advantaged because of feedstock economics. Their view is that inventories are still well below normal, which gives producers more room to push price increases. They also warned that disruption in the Strait of Hormuz could keep Middle East material constrained, and even if the conflict eases, normalization could still take months.</w:t>
      </w:r>
    </w:p>
    <w:p w14:paraId="7004AE05" w14:textId="77777777" w:rsidR="00C37999" w:rsidRDefault="00C37999" w:rsidP="00C37999">
      <w:pPr>
        <w:pStyle w:val="NormalWeb"/>
      </w:pPr>
      <w:r>
        <w:t>Eastman sounded the most “we’ve seen this before.” The company says it has a playbook for high oil-price environments and is focused on passing through higher costs where possible. Since most of its assets are domestic, it sees itself in a relatively strong position. Eastman also expects specialty and advanced materials pricing actions to keep moving, including more increases around April.</w:t>
      </w:r>
    </w:p>
    <w:p w14:paraId="7E94F065" w14:textId="77777777" w:rsidR="00C37999" w:rsidRDefault="00C37999" w:rsidP="00C37999">
      <w:pPr>
        <w:pStyle w:val="NormalWeb"/>
      </w:pPr>
      <w:r>
        <w:t xml:space="preserve">What </w:t>
      </w:r>
      <w:proofErr w:type="gramStart"/>
      <w:r>
        <w:t>this</w:t>
      </w:r>
      <w:proofErr w:type="gramEnd"/>
      <w:r>
        <w:t xml:space="preserve"> </w:t>
      </w:r>
      <w:proofErr w:type="gramStart"/>
      <w:r>
        <w:t>means</w:t>
      </w:r>
      <w:proofErr w:type="gramEnd"/>
      <w:r>
        <w:t xml:space="preserve"> for material processors: expect higher resin costs, more volatility, and the possibility of spot supply getting tighter before it gets better. Producers are clearly preparing customers for continued increases, not a quick reset.</w:t>
      </w:r>
    </w:p>
    <w:p w14:paraId="32D75930" w14:textId="77777777" w:rsidR="00C37999" w:rsidRDefault="00C37999" w:rsidP="00C37999">
      <w:pPr>
        <w:pStyle w:val="NormalWeb"/>
      </w:pPr>
      <w:r>
        <w:t>How processors should plan:</w:t>
      </w:r>
      <w:r>
        <w:br/>
        <w:t xml:space="preserve">First, get ahead of </w:t>
      </w:r>
      <w:proofErr w:type="gramStart"/>
      <w:r>
        <w:t>purchasing</w:t>
      </w:r>
      <w:proofErr w:type="gramEnd"/>
      <w:r>
        <w:t xml:space="preserve"> instead of waiting for monthly price letters. If you know you’ll need PE, PP, or related inputs, it may make sense to secure volume early rather than chase supply later in a rising market.</w:t>
      </w:r>
    </w:p>
    <w:p w14:paraId="0A856214" w14:textId="77777777" w:rsidR="00C37999" w:rsidRDefault="00C37999" w:rsidP="00C37999">
      <w:pPr>
        <w:pStyle w:val="NormalWeb"/>
      </w:pPr>
      <w:r>
        <w:t>Second, review inventory strategy. This is probably not the moment to run too lean on critical materials. You do not need to overbuy everything, but core grades with long lead times or single-source risk deserve a buffer.</w:t>
      </w:r>
    </w:p>
    <w:p w14:paraId="3A10525D" w14:textId="77777777" w:rsidR="00C37999" w:rsidRDefault="00C37999" w:rsidP="00C37999">
      <w:pPr>
        <w:pStyle w:val="NormalWeb"/>
      </w:pPr>
      <w:r>
        <w:lastRenderedPageBreak/>
        <w:t>Third, talk to suppliers now about allocation risk, lead times, and regional sourcing options. North America appears to be in a stronger position, so processors should ask whether domestic supply can offset international disruption.</w:t>
      </w:r>
    </w:p>
    <w:p w14:paraId="1F347D00" w14:textId="77777777" w:rsidR="00C37999" w:rsidRDefault="00C37999" w:rsidP="00C37999">
      <w:pPr>
        <w:pStyle w:val="NormalWeb"/>
      </w:pPr>
      <w:r>
        <w:t>Fourth, revisit customer pricing. If your raw material costs are exposed, make sure your own quotes, surcharges, or contract language can keep up. The petrochemical producers are already signaling cost pass-through behavior.</w:t>
      </w:r>
    </w:p>
    <w:p w14:paraId="3BAC19DB" w14:textId="77777777" w:rsidR="00C37999" w:rsidRDefault="00C37999" w:rsidP="00C37999">
      <w:pPr>
        <w:pStyle w:val="NormalWeb"/>
      </w:pPr>
      <w:r>
        <w:t>Fifth, pressure-test your substitution options. If one resin family tightens up, know which alternate grades, specs, or formulations are realistically usable before you are forced into a quick decision.</w:t>
      </w:r>
    </w:p>
    <w:p w14:paraId="5468AA85" w14:textId="77777777" w:rsidR="00C37999" w:rsidRDefault="00C37999" w:rsidP="00C37999">
      <w:pPr>
        <w:pStyle w:val="NormalWeb"/>
      </w:pPr>
      <w:r>
        <w:t>Overall: the producers are signaling that this is not just a headline issue — it is feeding directly into pricing, availability, and planning. For processors, the smart move is to stay close to suppliers, build some flexibility into inventory and sourcing, and prepare customers for a more expensive and less predictable spring.</w:t>
      </w:r>
    </w:p>
    <w:p w14:paraId="7116A7E1" w14:textId="77777777" w:rsidR="00C37999" w:rsidRDefault="00C37999"/>
    <w:sectPr w:rsidR="00C37999" w:rsidSect="0057183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99"/>
    <w:rsid w:val="00455CAC"/>
    <w:rsid w:val="0057183C"/>
    <w:rsid w:val="006302D6"/>
    <w:rsid w:val="00C37999"/>
    <w:rsid w:val="00FE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4992"/>
  <w15:chartTrackingRefBased/>
  <w15:docId w15:val="{82FEB21D-F954-42EE-942B-E8D937FC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999"/>
    <w:rPr>
      <w:rFonts w:eastAsiaTheme="majorEastAsia" w:cstheme="majorBidi"/>
      <w:color w:val="272727" w:themeColor="text1" w:themeTint="D8"/>
    </w:rPr>
  </w:style>
  <w:style w:type="paragraph" w:styleId="Title">
    <w:name w:val="Title"/>
    <w:basedOn w:val="Normal"/>
    <w:next w:val="Normal"/>
    <w:link w:val="TitleChar"/>
    <w:uiPriority w:val="10"/>
    <w:qFormat/>
    <w:rsid w:val="00C37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999"/>
    <w:pPr>
      <w:spacing w:before="160"/>
      <w:jc w:val="center"/>
    </w:pPr>
    <w:rPr>
      <w:i/>
      <w:iCs/>
      <w:color w:val="404040" w:themeColor="text1" w:themeTint="BF"/>
    </w:rPr>
  </w:style>
  <w:style w:type="character" w:customStyle="1" w:styleId="QuoteChar">
    <w:name w:val="Quote Char"/>
    <w:basedOn w:val="DefaultParagraphFont"/>
    <w:link w:val="Quote"/>
    <w:uiPriority w:val="29"/>
    <w:rsid w:val="00C37999"/>
    <w:rPr>
      <w:i/>
      <w:iCs/>
      <w:color w:val="404040" w:themeColor="text1" w:themeTint="BF"/>
    </w:rPr>
  </w:style>
  <w:style w:type="paragraph" w:styleId="ListParagraph">
    <w:name w:val="List Paragraph"/>
    <w:basedOn w:val="Normal"/>
    <w:uiPriority w:val="34"/>
    <w:qFormat/>
    <w:rsid w:val="00C37999"/>
    <w:pPr>
      <w:ind w:left="720"/>
      <w:contextualSpacing/>
    </w:pPr>
  </w:style>
  <w:style w:type="character" w:styleId="IntenseEmphasis">
    <w:name w:val="Intense Emphasis"/>
    <w:basedOn w:val="DefaultParagraphFont"/>
    <w:uiPriority w:val="21"/>
    <w:qFormat/>
    <w:rsid w:val="00C37999"/>
    <w:rPr>
      <w:i/>
      <w:iCs/>
      <w:color w:val="0F4761" w:themeColor="accent1" w:themeShade="BF"/>
    </w:rPr>
  </w:style>
  <w:style w:type="paragraph" w:styleId="IntenseQuote">
    <w:name w:val="Intense Quote"/>
    <w:basedOn w:val="Normal"/>
    <w:next w:val="Normal"/>
    <w:link w:val="IntenseQuoteChar"/>
    <w:uiPriority w:val="30"/>
    <w:qFormat/>
    <w:rsid w:val="00C37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999"/>
    <w:rPr>
      <w:i/>
      <w:iCs/>
      <w:color w:val="0F4761" w:themeColor="accent1" w:themeShade="BF"/>
    </w:rPr>
  </w:style>
  <w:style w:type="character" w:styleId="IntenseReference">
    <w:name w:val="Intense Reference"/>
    <w:basedOn w:val="DefaultParagraphFont"/>
    <w:uiPriority w:val="32"/>
    <w:qFormat/>
    <w:rsid w:val="00C37999"/>
    <w:rPr>
      <w:b/>
      <w:bCs/>
      <w:smallCaps/>
      <w:color w:val="0F4761" w:themeColor="accent1" w:themeShade="BF"/>
      <w:spacing w:val="5"/>
    </w:rPr>
  </w:style>
  <w:style w:type="paragraph" w:styleId="NormalWeb">
    <w:name w:val="Normal (Web)"/>
    <w:basedOn w:val="Normal"/>
    <w:uiPriority w:val="99"/>
    <w:semiHidden/>
    <w:unhideWhenUsed/>
    <w:rsid w:val="00C3799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549</Words>
  <Characters>3052</Characters>
  <Application>Microsoft Office Word</Application>
  <DocSecurity>0</DocSecurity>
  <Lines>49</Lines>
  <Paragraphs>13</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2026-03-20T12:21:00Z</dcterms:created>
  <dcterms:modified xsi:type="dcterms:W3CDTF">2026-03-20T12:26:00Z</dcterms:modified>
</cp:coreProperties>
</file>